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F9A29" w14:textId="77777777" w:rsidR="007F10E5" w:rsidRDefault="007F10E5" w:rsidP="007F10E5">
      <w:pPr>
        <w:shd w:val="clear" w:color="auto" w:fill="FFFFFF"/>
        <w:spacing w:before="100" w:beforeAutospacing="1" w:after="100" w:afterAutospacing="1" w:line="240" w:lineRule="auto"/>
        <w:rPr>
          <w:rFonts w:ascii="Arial" w:eastAsia="Times New Roman" w:hAnsi="Arial" w:cs="Arial"/>
          <w:b/>
          <w:bCs/>
          <w:color w:val="222222"/>
          <w:sz w:val="29"/>
          <w:szCs w:val="29"/>
          <w:lang w:eastAsia="es-ES"/>
        </w:rPr>
      </w:pPr>
    </w:p>
    <w:p w14:paraId="52118C76" w14:textId="53E1F638" w:rsidR="007F10E5" w:rsidRPr="007F10E5" w:rsidRDefault="007F10E5" w:rsidP="007F10E5">
      <w:pPr>
        <w:shd w:val="clear" w:color="auto" w:fill="FFFFFF"/>
        <w:spacing w:before="100" w:beforeAutospacing="1" w:after="100" w:afterAutospacing="1" w:line="240" w:lineRule="auto"/>
        <w:rPr>
          <w:rFonts w:ascii="Arial" w:eastAsia="Times New Roman" w:hAnsi="Arial" w:cs="Arial"/>
          <w:color w:val="222222"/>
          <w:sz w:val="29"/>
          <w:szCs w:val="29"/>
          <w:lang w:eastAsia="es-ES"/>
        </w:rPr>
      </w:pPr>
      <w:r w:rsidRPr="007F10E5">
        <w:rPr>
          <w:rFonts w:ascii="Arial" w:eastAsia="Times New Roman" w:hAnsi="Arial" w:cs="Arial"/>
          <w:b/>
          <w:bCs/>
          <w:color w:val="222222"/>
          <w:sz w:val="29"/>
          <w:szCs w:val="29"/>
          <w:lang w:eastAsia="es-ES"/>
        </w:rPr>
        <w:t>The questions about Learning Disability England and this decision</w:t>
      </w:r>
    </w:p>
    <w:p w14:paraId="64A8B5BA" w14:textId="77777777" w:rsidR="007F10E5" w:rsidRDefault="007F10E5" w:rsidP="007F10E5">
      <w:pPr>
        <w:shd w:val="clear" w:color="auto" w:fill="FFFFFF"/>
        <w:spacing w:after="240" w:line="240" w:lineRule="auto"/>
        <w:rPr>
          <w:rFonts w:ascii="Arial" w:eastAsia="Times New Roman" w:hAnsi="Arial" w:cs="Arial"/>
          <w:color w:val="222222"/>
          <w:sz w:val="30"/>
          <w:szCs w:val="30"/>
          <w:lang w:eastAsia="es-ES"/>
        </w:rPr>
      </w:pPr>
    </w:p>
    <w:p w14:paraId="0646598C" w14:textId="51B9EC3D" w:rsidR="007F10E5" w:rsidRPr="007F10E5" w:rsidRDefault="007F10E5" w:rsidP="007F10E5">
      <w:pPr>
        <w:shd w:val="clear" w:color="auto" w:fill="FFFFFF"/>
        <w:spacing w:after="240" w:line="240" w:lineRule="auto"/>
        <w:rPr>
          <w:rFonts w:ascii="Arial" w:eastAsia="Times New Roman" w:hAnsi="Arial" w:cs="Arial"/>
          <w:color w:val="222222"/>
          <w:sz w:val="30"/>
          <w:szCs w:val="30"/>
          <w:lang w:eastAsia="es-ES"/>
        </w:rPr>
      </w:pPr>
      <w:bookmarkStart w:id="0" w:name="_GoBack"/>
      <w:bookmarkEnd w:id="0"/>
      <w:r w:rsidRPr="007F10E5">
        <w:rPr>
          <w:rFonts w:ascii="Arial" w:eastAsia="Times New Roman" w:hAnsi="Arial" w:cs="Arial"/>
          <w:color w:val="222222"/>
          <w:sz w:val="30"/>
          <w:szCs w:val="30"/>
          <w:lang w:eastAsia="es-ES"/>
        </w:rPr>
        <w:t>Learning Disability England shared the information about the decision on our social media and we will put it in our newsletter because we know it is an important decision. We hope it will mean that providers start to think differently about how supported living could work better for everyone.</w:t>
      </w:r>
    </w:p>
    <w:p w14:paraId="53E5F8B2" w14:textId="77777777" w:rsidR="007F10E5" w:rsidRPr="007F10E5" w:rsidRDefault="007F10E5" w:rsidP="007F10E5">
      <w:pPr>
        <w:shd w:val="clear" w:color="auto" w:fill="FFFFFF"/>
        <w:spacing w:after="240" w:line="240" w:lineRule="auto"/>
        <w:rPr>
          <w:rFonts w:ascii="Arial" w:eastAsia="Times New Roman" w:hAnsi="Arial" w:cs="Arial"/>
          <w:color w:val="222222"/>
          <w:sz w:val="30"/>
          <w:szCs w:val="30"/>
          <w:lang w:eastAsia="es-ES"/>
        </w:rPr>
      </w:pPr>
      <w:r w:rsidRPr="007F10E5">
        <w:rPr>
          <w:rFonts w:ascii="Arial" w:eastAsia="Times New Roman" w:hAnsi="Arial" w:cs="Arial"/>
          <w:color w:val="222222"/>
          <w:sz w:val="30"/>
          <w:szCs w:val="30"/>
          <w:lang w:eastAsia="es-ES"/>
        </w:rPr>
        <w:t>Peter Kinsey is a Trustee of LDE. He is also the Chief Executive of CMG.</w:t>
      </w:r>
    </w:p>
    <w:p w14:paraId="38829E47" w14:textId="77777777" w:rsidR="007F10E5" w:rsidRPr="007F10E5" w:rsidRDefault="007F10E5" w:rsidP="007F10E5">
      <w:pPr>
        <w:shd w:val="clear" w:color="auto" w:fill="FFFFFF"/>
        <w:spacing w:after="240" w:line="240" w:lineRule="auto"/>
        <w:rPr>
          <w:rFonts w:ascii="Arial" w:eastAsia="Times New Roman" w:hAnsi="Arial" w:cs="Arial"/>
          <w:color w:val="222222"/>
          <w:sz w:val="30"/>
          <w:szCs w:val="30"/>
          <w:lang w:eastAsia="es-ES"/>
        </w:rPr>
      </w:pPr>
      <w:r w:rsidRPr="007F10E5">
        <w:rPr>
          <w:rFonts w:ascii="Arial" w:eastAsia="Times New Roman" w:hAnsi="Arial" w:cs="Arial"/>
          <w:color w:val="222222"/>
          <w:sz w:val="30"/>
          <w:szCs w:val="30"/>
          <w:lang w:eastAsia="es-ES"/>
        </w:rPr>
        <w:t xml:space="preserve">When some people read the tribunal decision, they asked us questions about LDE. The questions were asked by people who </w:t>
      </w:r>
      <w:proofErr w:type="gramStart"/>
      <w:r w:rsidRPr="007F10E5">
        <w:rPr>
          <w:rFonts w:ascii="Arial" w:eastAsia="Times New Roman" w:hAnsi="Arial" w:cs="Arial"/>
          <w:color w:val="222222"/>
          <w:sz w:val="30"/>
          <w:szCs w:val="30"/>
          <w:lang w:eastAsia="es-ES"/>
        </w:rPr>
        <w:t>are families and allies of people with learning disabilities</w:t>
      </w:r>
      <w:proofErr w:type="gramEnd"/>
      <w:r w:rsidRPr="007F10E5">
        <w:rPr>
          <w:rFonts w:ascii="Arial" w:eastAsia="Times New Roman" w:hAnsi="Arial" w:cs="Arial"/>
          <w:color w:val="222222"/>
          <w:sz w:val="30"/>
          <w:szCs w:val="30"/>
          <w:lang w:eastAsia="es-ES"/>
        </w:rPr>
        <w:t xml:space="preserve">. These people know a lot about what bad, and good, support looks like. At LDE we think it is </w:t>
      </w:r>
      <w:proofErr w:type="gramStart"/>
      <w:r w:rsidRPr="007F10E5">
        <w:rPr>
          <w:rFonts w:ascii="Arial" w:eastAsia="Times New Roman" w:hAnsi="Arial" w:cs="Arial"/>
          <w:color w:val="222222"/>
          <w:sz w:val="30"/>
          <w:szCs w:val="30"/>
          <w:lang w:eastAsia="es-ES"/>
        </w:rPr>
        <w:t>really important</w:t>
      </w:r>
      <w:proofErr w:type="gramEnd"/>
      <w:r w:rsidRPr="007F10E5">
        <w:rPr>
          <w:rFonts w:ascii="Arial" w:eastAsia="Times New Roman" w:hAnsi="Arial" w:cs="Arial"/>
          <w:color w:val="222222"/>
          <w:sz w:val="30"/>
          <w:szCs w:val="30"/>
          <w:lang w:eastAsia="es-ES"/>
        </w:rPr>
        <w:t xml:space="preserve"> to think carefully when people ask us questions. We think that if we can do that then we can all learn something and find better ways to do things.</w:t>
      </w:r>
    </w:p>
    <w:p w14:paraId="05FEECED" w14:textId="77777777" w:rsidR="007F10E5" w:rsidRPr="007F10E5" w:rsidRDefault="007F10E5" w:rsidP="007F10E5">
      <w:pPr>
        <w:shd w:val="clear" w:color="auto" w:fill="FFFFFF"/>
        <w:spacing w:after="240" w:line="240" w:lineRule="auto"/>
        <w:rPr>
          <w:rFonts w:ascii="Arial" w:eastAsia="Times New Roman" w:hAnsi="Arial" w:cs="Arial"/>
          <w:color w:val="222222"/>
          <w:sz w:val="30"/>
          <w:szCs w:val="30"/>
          <w:lang w:eastAsia="es-ES"/>
        </w:rPr>
      </w:pPr>
      <w:r w:rsidRPr="007F10E5">
        <w:rPr>
          <w:rFonts w:ascii="Arial" w:eastAsia="Times New Roman" w:hAnsi="Arial" w:cs="Arial"/>
          <w:color w:val="222222"/>
          <w:sz w:val="30"/>
          <w:szCs w:val="30"/>
          <w:lang w:eastAsia="es-ES"/>
        </w:rPr>
        <w:t>They said they are worried that if LDE has a Trustee who is also CEO of an organisation that provides the kind of service described in the tribunal decision, this makes LDE less reliable and not an organisation people can trust.</w:t>
      </w:r>
    </w:p>
    <w:p w14:paraId="1FD3FF7D" w14:textId="77777777" w:rsidR="007F10E5" w:rsidRPr="007F10E5" w:rsidRDefault="007F10E5" w:rsidP="007F10E5">
      <w:pPr>
        <w:shd w:val="clear" w:color="auto" w:fill="FFFFFF"/>
        <w:spacing w:after="240" w:line="240" w:lineRule="auto"/>
        <w:rPr>
          <w:rFonts w:ascii="Arial" w:eastAsia="Times New Roman" w:hAnsi="Arial" w:cs="Arial"/>
          <w:color w:val="222222"/>
          <w:sz w:val="30"/>
          <w:szCs w:val="30"/>
          <w:lang w:eastAsia="es-ES"/>
        </w:rPr>
      </w:pPr>
      <w:r w:rsidRPr="007F10E5">
        <w:rPr>
          <w:rFonts w:ascii="Arial" w:eastAsia="Times New Roman" w:hAnsi="Arial" w:cs="Arial"/>
          <w:color w:val="222222"/>
          <w:sz w:val="30"/>
          <w:szCs w:val="30"/>
          <w:lang w:eastAsia="es-ES"/>
        </w:rPr>
        <w:t>Since then people on social media have asked questions about</w:t>
      </w:r>
    </w:p>
    <w:p w14:paraId="22FD2B83" w14:textId="77777777" w:rsidR="007F10E5" w:rsidRPr="007F10E5" w:rsidRDefault="007F10E5" w:rsidP="007F10E5">
      <w:pPr>
        <w:numPr>
          <w:ilvl w:val="0"/>
          <w:numId w:val="2"/>
        </w:numPr>
        <w:shd w:val="clear" w:color="auto" w:fill="FFFFFF"/>
        <w:spacing w:before="100" w:beforeAutospacing="1" w:after="100" w:afterAutospacing="1" w:line="240" w:lineRule="auto"/>
        <w:ind w:left="0"/>
        <w:rPr>
          <w:rFonts w:ascii="Arial" w:eastAsia="Times New Roman" w:hAnsi="Arial" w:cs="Arial"/>
          <w:color w:val="222222"/>
          <w:sz w:val="29"/>
          <w:szCs w:val="29"/>
          <w:lang w:eastAsia="es-ES"/>
        </w:rPr>
      </w:pPr>
      <w:r w:rsidRPr="007F10E5">
        <w:rPr>
          <w:rFonts w:ascii="Arial" w:eastAsia="Times New Roman" w:hAnsi="Arial" w:cs="Arial"/>
          <w:color w:val="222222"/>
          <w:sz w:val="29"/>
          <w:szCs w:val="29"/>
          <w:lang w:eastAsia="es-ES"/>
        </w:rPr>
        <w:t>LDE’s policy on what kind of people or organisations can be members of LDE</w:t>
      </w:r>
    </w:p>
    <w:p w14:paraId="657B16E8" w14:textId="77777777" w:rsidR="007F10E5" w:rsidRPr="007F10E5" w:rsidRDefault="007F10E5" w:rsidP="007F10E5">
      <w:pPr>
        <w:numPr>
          <w:ilvl w:val="0"/>
          <w:numId w:val="2"/>
        </w:numPr>
        <w:shd w:val="clear" w:color="auto" w:fill="FFFFFF"/>
        <w:spacing w:before="100" w:beforeAutospacing="1" w:after="100" w:afterAutospacing="1" w:line="240" w:lineRule="auto"/>
        <w:ind w:left="0"/>
        <w:rPr>
          <w:rFonts w:ascii="Arial" w:eastAsia="Times New Roman" w:hAnsi="Arial" w:cs="Arial"/>
          <w:color w:val="222222"/>
          <w:sz w:val="29"/>
          <w:szCs w:val="29"/>
          <w:lang w:eastAsia="es-ES"/>
        </w:rPr>
      </w:pPr>
      <w:r w:rsidRPr="007F10E5">
        <w:rPr>
          <w:rFonts w:ascii="Arial" w:eastAsia="Times New Roman" w:hAnsi="Arial" w:cs="Arial"/>
          <w:color w:val="222222"/>
          <w:sz w:val="29"/>
          <w:szCs w:val="29"/>
          <w:lang w:eastAsia="es-ES"/>
        </w:rPr>
        <w:t>Who can be part of the groups that run LDE and are there things that might mean they cannot or have to stop.</w:t>
      </w:r>
    </w:p>
    <w:p w14:paraId="3E2AA5B6" w14:textId="77777777" w:rsidR="007F10E5" w:rsidRPr="007F10E5" w:rsidRDefault="007F10E5" w:rsidP="007F10E5">
      <w:pPr>
        <w:numPr>
          <w:ilvl w:val="0"/>
          <w:numId w:val="2"/>
        </w:numPr>
        <w:shd w:val="clear" w:color="auto" w:fill="FFFFFF"/>
        <w:spacing w:before="100" w:beforeAutospacing="1" w:after="100" w:afterAutospacing="1" w:line="240" w:lineRule="auto"/>
        <w:ind w:left="0"/>
        <w:rPr>
          <w:rFonts w:ascii="Arial" w:eastAsia="Times New Roman" w:hAnsi="Arial" w:cs="Arial"/>
          <w:color w:val="222222"/>
          <w:sz w:val="29"/>
          <w:szCs w:val="29"/>
          <w:lang w:eastAsia="es-ES"/>
        </w:rPr>
      </w:pPr>
      <w:r w:rsidRPr="007F10E5">
        <w:rPr>
          <w:rFonts w:ascii="Arial" w:eastAsia="Times New Roman" w:hAnsi="Arial" w:cs="Arial"/>
          <w:color w:val="222222"/>
          <w:sz w:val="29"/>
          <w:szCs w:val="29"/>
          <w:lang w:eastAsia="es-ES"/>
        </w:rPr>
        <w:t>Why is everyone on the LDE Board someone who leads a support or housing organisation</w:t>
      </w:r>
    </w:p>
    <w:p w14:paraId="05241262" w14:textId="77777777" w:rsidR="007F10E5" w:rsidRPr="007F10E5" w:rsidRDefault="007F10E5" w:rsidP="007F10E5">
      <w:pPr>
        <w:numPr>
          <w:ilvl w:val="0"/>
          <w:numId w:val="2"/>
        </w:numPr>
        <w:shd w:val="clear" w:color="auto" w:fill="FFFFFF"/>
        <w:spacing w:before="100" w:beforeAutospacing="1" w:after="100" w:afterAutospacing="1" w:line="240" w:lineRule="auto"/>
        <w:ind w:left="0"/>
        <w:rPr>
          <w:rFonts w:ascii="Arial" w:eastAsia="Times New Roman" w:hAnsi="Arial" w:cs="Arial"/>
          <w:color w:val="222222"/>
          <w:sz w:val="29"/>
          <w:szCs w:val="29"/>
          <w:lang w:eastAsia="es-ES"/>
        </w:rPr>
      </w:pPr>
      <w:r w:rsidRPr="007F10E5">
        <w:rPr>
          <w:rFonts w:ascii="Arial" w:eastAsia="Times New Roman" w:hAnsi="Arial" w:cs="Arial"/>
          <w:color w:val="222222"/>
          <w:sz w:val="29"/>
          <w:szCs w:val="29"/>
          <w:lang w:eastAsia="es-ES"/>
        </w:rPr>
        <w:t>Why LDE have not agreed a way of dealing with the issue of a Trustee when a service they manage at work has been criticised by CQC, when the Tribunal has been going on for months</w:t>
      </w:r>
    </w:p>
    <w:p w14:paraId="7BB1266D" w14:textId="6C1B9030" w:rsidR="003F4DCE" w:rsidRDefault="003F4DCE"/>
    <w:p w14:paraId="0EBBF6A3" w14:textId="17819031" w:rsidR="003F4DCE" w:rsidRDefault="003F4DCE"/>
    <w:p w14:paraId="5B0638ED" w14:textId="77777777" w:rsidR="003F4DCE" w:rsidRDefault="003F4DCE"/>
    <w:p w14:paraId="056234F8" w14:textId="4F3EF971" w:rsidR="003F4DCE" w:rsidRDefault="003F4DCE"/>
    <w:p w14:paraId="3DF432CD" w14:textId="5C4DB8A4" w:rsidR="003F4DCE" w:rsidRDefault="003F4DCE"/>
    <w:p w14:paraId="2CB14113" w14:textId="271A330C" w:rsidR="003F4DCE" w:rsidRDefault="003F4DCE"/>
    <w:sectPr w:rsidR="003F4DCE" w:rsidSect="00EC762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86677" w14:textId="77777777" w:rsidR="00B134CA" w:rsidRDefault="00B134CA" w:rsidP="00EC7627">
      <w:pPr>
        <w:spacing w:after="0" w:line="240" w:lineRule="auto"/>
      </w:pPr>
      <w:r>
        <w:separator/>
      </w:r>
    </w:p>
  </w:endnote>
  <w:endnote w:type="continuationSeparator" w:id="0">
    <w:p w14:paraId="5667F846" w14:textId="77777777" w:rsidR="00B134CA" w:rsidRDefault="00B134CA" w:rsidP="00EC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71692" w14:textId="77777777" w:rsidR="00EC7627" w:rsidRDefault="00EC7627">
    <w:pPr>
      <w:pStyle w:val="Footer"/>
    </w:pPr>
    <w:r>
      <w:rPr>
        <w:noProof/>
      </w:rPr>
      <mc:AlternateContent>
        <mc:Choice Requires="wps">
          <w:drawing>
            <wp:anchor distT="0" distB="0" distL="114300" distR="114300" simplePos="0" relativeHeight="251661312" behindDoc="0" locked="0" layoutInCell="1" allowOverlap="1" wp14:anchorId="5937BB1F" wp14:editId="4A127631">
              <wp:simplePos x="0" y="0"/>
              <wp:positionH relativeFrom="column">
                <wp:posOffset>0</wp:posOffset>
              </wp:positionH>
              <wp:positionV relativeFrom="margin">
                <wp:posOffset>8119110</wp:posOffset>
              </wp:positionV>
              <wp:extent cx="6724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724650" cy="0"/>
                      </a:xfrm>
                      <a:prstGeom prst="line">
                        <a:avLst/>
                      </a:prstGeom>
                      <a:noFill/>
                      <a:ln w="19050" cap="flat" cmpd="sng" algn="ctr">
                        <a:solidFill>
                          <a:srgbClr val="E7E6E6">
                            <a:lumMod val="25000"/>
                          </a:srgbClr>
                        </a:solidFill>
                        <a:prstDash val="solid"/>
                        <a:miter lim="800000"/>
                      </a:ln>
                      <a:effectLst/>
                    </wps:spPr>
                    <wps:bodyPr/>
                  </wps:wsp>
                </a:graphicData>
              </a:graphic>
            </wp:anchor>
          </w:drawing>
        </mc:Choice>
        <mc:Fallback>
          <w:pict>
            <v:line w14:anchorId="498E94A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margin" from="0,639.3pt" to="529.5pt,6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" strokecolor="#3b3838" strokeweight="1.5pt">
              <v:stroke joinstyle="miter"/>
              <w10:wrap anchory="margin"/>
            </v:line>
          </w:pict>
        </mc:Fallback>
      </mc:AlternateContent>
    </w:r>
  </w:p>
  <w:p w14:paraId="7AE9A23F" w14:textId="77777777" w:rsidR="00EC7627" w:rsidRDefault="00EC7627">
    <w:pPr>
      <w:pStyle w:val="Footer"/>
    </w:pPr>
  </w:p>
  <w:p w14:paraId="70024877" w14:textId="25ADDEA2" w:rsidR="00EC7627" w:rsidRDefault="00EC7627">
    <w:pPr>
      <w:pStyle w:val="Footer"/>
      <w:rPr>
        <w:color w:val="E54A05"/>
        <w:spacing w:val="20"/>
        <w:sz w:val="20"/>
        <w:szCs w:val="20"/>
      </w:rPr>
    </w:pPr>
    <w:r w:rsidRPr="00EC7627">
      <w:rPr>
        <w:color w:val="E54A05"/>
        <w:spacing w:val="20"/>
        <w:sz w:val="20"/>
        <w:szCs w:val="20"/>
      </w:rPr>
      <w:t xml:space="preserve">Learning Disability England c/o BILD, Birmingham Research Park, 97 Vincent Drive, Birmingham </w:t>
    </w:r>
    <w:r w:rsidR="005A1638">
      <w:rPr>
        <w:color w:val="E54A05"/>
        <w:spacing w:val="20"/>
        <w:sz w:val="20"/>
        <w:szCs w:val="20"/>
      </w:rPr>
      <w:t>B</w:t>
    </w:r>
    <w:r w:rsidRPr="00EC7627">
      <w:rPr>
        <w:color w:val="E54A05"/>
        <w:spacing w:val="20"/>
        <w:sz w:val="20"/>
        <w:szCs w:val="20"/>
      </w:rPr>
      <w:t>15 2SQ</w:t>
    </w:r>
  </w:p>
  <w:p w14:paraId="22A2E78E" w14:textId="77777777" w:rsidR="00EC7627" w:rsidRPr="002B00F6" w:rsidRDefault="00EC7627" w:rsidP="002B00F6">
    <w:pPr>
      <w:pStyle w:val="Footer"/>
      <w:jc w:val="center"/>
      <w:rPr>
        <w:color w:val="E54A05"/>
        <w:spacing w:val="20"/>
        <w:sz w:val="20"/>
        <w:szCs w:val="20"/>
        <w:lang w:val="es-ES"/>
      </w:rPr>
    </w:pPr>
    <w:r w:rsidRPr="002B00F6">
      <w:rPr>
        <w:color w:val="E54A05"/>
        <w:spacing w:val="20"/>
        <w:sz w:val="20"/>
        <w:szCs w:val="20"/>
        <w:lang w:val="es-ES"/>
      </w:rPr>
      <w:t xml:space="preserve">P- </w:t>
    </w:r>
    <w:r w:rsidR="002B00F6" w:rsidRPr="002B00F6">
      <w:rPr>
        <w:color w:val="E54A05"/>
        <w:spacing w:val="20"/>
        <w:sz w:val="20"/>
        <w:szCs w:val="20"/>
        <w:lang w:val="es-ES"/>
      </w:rPr>
      <w:t xml:space="preserve">0300 201 0455 E- </w:t>
    </w:r>
    <w:hyperlink r:id="rId1" w:history="1">
      <w:r w:rsidR="002B00F6" w:rsidRPr="002B00F6">
        <w:rPr>
          <w:rStyle w:val="Hyperlink"/>
          <w:spacing w:val="20"/>
          <w:sz w:val="20"/>
          <w:szCs w:val="20"/>
          <w:lang w:val="es-ES"/>
        </w:rPr>
        <w:t>info@LDEngland.org.uk</w:t>
      </w:r>
    </w:hyperlink>
    <w:r w:rsidR="002B00F6">
      <w:rPr>
        <w:color w:val="E54A05"/>
        <w:spacing w:val="20"/>
        <w:sz w:val="20"/>
        <w:szCs w:val="20"/>
        <w:lang w:val="es-ES"/>
      </w:rPr>
      <w:t xml:space="preserve"> W- </w:t>
    </w:r>
    <w:hyperlink r:id="rId2" w:history="1">
      <w:r w:rsidR="002B00F6" w:rsidRPr="00411A0C">
        <w:rPr>
          <w:rStyle w:val="Hyperlink"/>
          <w:spacing w:val="20"/>
          <w:sz w:val="20"/>
          <w:szCs w:val="20"/>
          <w:lang w:val="es-ES"/>
        </w:rPr>
        <w:t>www.learningdisabilityengland.org.uk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E9B0B" w14:textId="77777777" w:rsidR="00B134CA" w:rsidRDefault="00B134CA" w:rsidP="00EC7627">
      <w:pPr>
        <w:spacing w:after="0" w:line="240" w:lineRule="auto"/>
      </w:pPr>
      <w:r>
        <w:separator/>
      </w:r>
    </w:p>
  </w:footnote>
  <w:footnote w:type="continuationSeparator" w:id="0">
    <w:p w14:paraId="6A46B028" w14:textId="77777777" w:rsidR="00B134CA" w:rsidRDefault="00B134CA" w:rsidP="00EC7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78EA2" w14:textId="77777777" w:rsidR="00EC7627" w:rsidRDefault="00EC7627" w:rsidP="00EC7627">
    <w:pPr>
      <w:pStyle w:val="Header"/>
      <w:jc w:val="center"/>
    </w:pPr>
    <w:r>
      <w:rPr>
        <w:noProof/>
      </w:rPr>
      <w:drawing>
        <wp:inline distT="0" distB="0" distL="0" distR="0" wp14:anchorId="1B12D574" wp14:editId="3C9387C7">
          <wp:extent cx="1621536" cy="94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E logo.jpg"/>
                  <pic:cNvPicPr/>
                </pic:nvPicPr>
                <pic:blipFill>
                  <a:blip r:embed="rId1">
                    <a:extLst>
                      <a:ext uri="{28A0092B-C50C-407E-A947-70E740481C1C}">
                        <a14:useLocalDpi xmlns:a14="http://schemas.microsoft.com/office/drawing/2010/main" val="0"/>
                      </a:ext>
                    </a:extLst>
                  </a:blip>
                  <a:stretch>
                    <a:fillRect/>
                  </a:stretch>
                </pic:blipFill>
                <pic:spPr>
                  <a:xfrm>
                    <a:off x="0" y="0"/>
                    <a:ext cx="1621536" cy="944880"/>
                  </a:xfrm>
                  <a:prstGeom prst="rect">
                    <a:avLst/>
                  </a:prstGeom>
                </pic:spPr>
              </pic:pic>
            </a:graphicData>
          </a:graphic>
        </wp:inline>
      </w:drawing>
    </w:r>
  </w:p>
  <w:p w14:paraId="30F793C6" w14:textId="77777777" w:rsidR="00EC7627" w:rsidRDefault="00EC7627" w:rsidP="00EC7627">
    <w:pPr>
      <w:pStyle w:val="Header"/>
      <w:jc w:val="center"/>
    </w:pPr>
    <w:r>
      <w:rPr>
        <w:noProof/>
      </w:rPr>
      <mc:AlternateContent>
        <mc:Choice Requires="wps">
          <w:drawing>
            <wp:anchor distT="0" distB="0" distL="114300" distR="114300" simplePos="0" relativeHeight="251659264" behindDoc="0" locked="0" layoutInCell="1" allowOverlap="1" wp14:anchorId="02CC9F75" wp14:editId="7F0E0DE3">
              <wp:simplePos x="0" y="0"/>
              <wp:positionH relativeFrom="column">
                <wp:posOffset>-157163</wp:posOffset>
              </wp:positionH>
              <wp:positionV relativeFrom="margin">
                <wp:posOffset>-190500</wp:posOffset>
              </wp:positionV>
              <wp:extent cx="6724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24650" cy="0"/>
                      </a:xfrm>
                      <a:prstGeom prst="line">
                        <a:avLst/>
                      </a:prstGeom>
                      <a:ln w="1905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9DEC8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margin" from="-12.4pt,-15pt" to="51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" strokecolor="#393737 [814]" strokeweight="1.5pt">
              <v:stroke joinstyle="miter"/>
              <w10:wrap anchory="margin"/>
            </v:line>
          </w:pict>
        </mc:Fallback>
      </mc:AlternateContent>
    </w:r>
  </w:p>
  <w:p w14:paraId="24ECF23E" w14:textId="77777777" w:rsidR="00EC7627" w:rsidRDefault="00EC7627" w:rsidP="00EC76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55ABF"/>
    <w:multiLevelType w:val="multilevel"/>
    <w:tmpl w:val="2AF0B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01530B"/>
    <w:multiLevelType w:val="multilevel"/>
    <w:tmpl w:val="14AA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27"/>
    <w:rsid w:val="00184AC8"/>
    <w:rsid w:val="00294C6E"/>
    <w:rsid w:val="002B00F6"/>
    <w:rsid w:val="003F4DCE"/>
    <w:rsid w:val="005736E7"/>
    <w:rsid w:val="0059675A"/>
    <w:rsid w:val="005A1638"/>
    <w:rsid w:val="00613064"/>
    <w:rsid w:val="007A285A"/>
    <w:rsid w:val="007F10E5"/>
    <w:rsid w:val="00877EE2"/>
    <w:rsid w:val="00925F30"/>
    <w:rsid w:val="00A910D8"/>
    <w:rsid w:val="00B134CA"/>
    <w:rsid w:val="00B204E7"/>
    <w:rsid w:val="00BB0925"/>
    <w:rsid w:val="00C04921"/>
    <w:rsid w:val="00C66243"/>
    <w:rsid w:val="00E67D9F"/>
    <w:rsid w:val="00EC7627"/>
    <w:rsid w:val="00ED29FD"/>
    <w:rsid w:val="00FF4D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B0DD7B"/>
  <w15:chartTrackingRefBased/>
  <w15:docId w15:val="{72D51747-CF64-4252-A7C6-BDA1A403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627"/>
    <w:rPr>
      <w:lang w:val="en-GB"/>
    </w:rPr>
  </w:style>
  <w:style w:type="paragraph" w:styleId="Footer">
    <w:name w:val="footer"/>
    <w:basedOn w:val="Normal"/>
    <w:link w:val="FooterChar"/>
    <w:uiPriority w:val="99"/>
    <w:unhideWhenUsed/>
    <w:rsid w:val="00EC7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627"/>
    <w:rPr>
      <w:lang w:val="en-GB"/>
    </w:rPr>
  </w:style>
  <w:style w:type="character" w:styleId="Hyperlink">
    <w:name w:val="Hyperlink"/>
    <w:basedOn w:val="DefaultParagraphFont"/>
    <w:uiPriority w:val="99"/>
    <w:unhideWhenUsed/>
    <w:rsid w:val="002B00F6"/>
    <w:rPr>
      <w:color w:val="0563C1" w:themeColor="hyperlink"/>
      <w:u w:val="single"/>
    </w:rPr>
  </w:style>
  <w:style w:type="character" w:styleId="UnresolvedMention">
    <w:name w:val="Unresolved Mention"/>
    <w:basedOn w:val="DefaultParagraphFont"/>
    <w:uiPriority w:val="99"/>
    <w:semiHidden/>
    <w:unhideWhenUsed/>
    <w:rsid w:val="002B00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earningdisabilityengland.org.uk" TargetMode="External"/><Relationship Id="rId1" Type="http://schemas.openxmlformats.org/officeDocument/2006/relationships/hyperlink" Target="mailto:info@LDEngla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Ortiz</dc:creator>
  <cp:keywords/>
  <dc:description/>
  <cp:lastModifiedBy>Mariana Ortiz</cp:lastModifiedBy>
  <cp:revision>2</cp:revision>
  <dcterms:created xsi:type="dcterms:W3CDTF">2018-10-10T15:14:00Z</dcterms:created>
  <dcterms:modified xsi:type="dcterms:W3CDTF">2018-10-10T15:14:00Z</dcterms:modified>
</cp:coreProperties>
</file>